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BDD" w:rsidRDefault="009C2BDD">
      <w:pPr>
        <w:jc w:val="center"/>
        <w:rPr>
          <w:rFonts w:ascii="Times New Roman" w:hAnsi="Times New Roman"/>
          <w:b/>
          <w:sz w:val="24"/>
        </w:rPr>
      </w:pPr>
    </w:p>
    <w:p w:rsidR="009C2BDD" w:rsidRDefault="009C2BDD">
      <w:pPr>
        <w:jc w:val="center"/>
        <w:rPr>
          <w:rFonts w:ascii="Times New Roman" w:hAnsi="Times New Roman"/>
          <w:b/>
          <w:sz w:val="24"/>
        </w:rPr>
      </w:pPr>
    </w:p>
    <w:p w:rsidR="00F430EC" w:rsidRDefault="00145724" w:rsidP="009C2BDD">
      <w:pPr>
        <w:ind w:firstLine="0"/>
        <w:jc w:val="center"/>
        <w:rPr>
          <w:rFonts w:ascii="Times New Roman" w:hAnsi="Times New Roman"/>
          <w:b/>
          <w:sz w:val="24"/>
        </w:rPr>
      </w:pPr>
      <w:r>
        <w:rPr>
          <w:rFonts w:ascii="Times New Roman" w:hAnsi="Times New Roman"/>
          <w:b/>
          <w:sz w:val="24"/>
        </w:rPr>
        <w:t>Diptych of the Symmachi and Aphrodite of Knidos</w:t>
      </w:r>
    </w:p>
    <w:p w:rsidR="00F430EC" w:rsidRDefault="00F430EC" w:rsidP="009C2BDD">
      <w:pPr>
        <w:ind w:firstLine="0"/>
        <w:jc w:val="center"/>
        <w:rPr>
          <w:rFonts w:ascii="Times New Roman" w:hAnsi="Times New Roman"/>
          <w:b/>
          <w:sz w:val="24"/>
        </w:rPr>
      </w:pPr>
    </w:p>
    <w:p w:rsidR="00F430EC" w:rsidRDefault="00F430EC" w:rsidP="009C2BDD">
      <w:pPr>
        <w:ind w:firstLine="0"/>
        <w:jc w:val="center"/>
        <w:rPr>
          <w:rFonts w:ascii="Times New Roman" w:hAnsi="Times New Roman"/>
          <w:b/>
          <w:sz w:val="24"/>
        </w:rPr>
      </w:pPr>
    </w:p>
    <w:p w:rsidR="00F430EC" w:rsidRDefault="00F430EC" w:rsidP="009C2BDD">
      <w:pPr>
        <w:ind w:firstLine="0"/>
        <w:jc w:val="center"/>
        <w:rPr>
          <w:rFonts w:ascii="Times New Roman" w:hAnsi="Times New Roman"/>
          <w:b/>
          <w:sz w:val="24"/>
        </w:rPr>
      </w:pPr>
    </w:p>
    <w:p w:rsidR="00F430EC" w:rsidRDefault="00F430EC" w:rsidP="009C2BDD">
      <w:pPr>
        <w:ind w:firstLine="0"/>
        <w:jc w:val="center"/>
        <w:rPr>
          <w:rFonts w:ascii="Times New Roman" w:hAnsi="Times New Roman"/>
          <w:b/>
          <w:sz w:val="24"/>
        </w:rPr>
      </w:pPr>
    </w:p>
    <w:p w:rsidR="00F430EC" w:rsidRDefault="00F430EC" w:rsidP="009C2BDD">
      <w:pPr>
        <w:ind w:firstLine="0"/>
        <w:jc w:val="center"/>
        <w:rPr>
          <w:rFonts w:ascii="Times New Roman" w:hAnsi="Times New Roman"/>
          <w:b/>
          <w:sz w:val="24"/>
        </w:rPr>
      </w:pPr>
    </w:p>
    <w:p w:rsidR="00F430EC" w:rsidRDefault="00145724" w:rsidP="009C2BDD">
      <w:pPr>
        <w:ind w:firstLine="0"/>
        <w:jc w:val="center"/>
        <w:rPr>
          <w:rFonts w:ascii="Times New Roman" w:hAnsi="Times New Roman"/>
          <w:sz w:val="24"/>
        </w:rPr>
      </w:pPr>
      <w:r>
        <w:rPr>
          <w:rFonts w:ascii="Times New Roman" w:hAnsi="Times New Roman"/>
          <w:sz w:val="24"/>
        </w:rPr>
        <w:t>Name</w:t>
      </w:r>
    </w:p>
    <w:p w:rsidR="00F430EC" w:rsidRDefault="00145724" w:rsidP="009C2BDD">
      <w:pPr>
        <w:ind w:firstLine="0"/>
        <w:jc w:val="center"/>
        <w:rPr>
          <w:rFonts w:ascii="Times New Roman" w:hAnsi="Times New Roman"/>
          <w:sz w:val="24"/>
        </w:rPr>
      </w:pPr>
      <w:r>
        <w:rPr>
          <w:rFonts w:ascii="Times New Roman" w:hAnsi="Times New Roman"/>
          <w:sz w:val="24"/>
        </w:rPr>
        <w:t>Institution</w:t>
      </w:r>
      <w:r w:rsidR="009C2BDD">
        <w:rPr>
          <w:rFonts w:ascii="Times New Roman" w:hAnsi="Times New Roman"/>
          <w:sz w:val="24"/>
        </w:rPr>
        <w:t xml:space="preserve"> of Affiliation</w:t>
      </w:r>
    </w:p>
    <w:p w:rsidR="00F430EC" w:rsidRDefault="00145724" w:rsidP="009C2BDD">
      <w:pPr>
        <w:ind w:firstLine="0"/>
        <w:jc w:val="center"/>
        <w:rPr>
          <w:rFonts w:ascii="Times New Roman" w:hAnsi="Times New Roman"/>
          <w:sz w:val="24"/>
        </w:rPr>
      </w:pPr>
      <w:r>
        <w:rPr>
          <w:rFonts w:ascii="Times New Roman" w:hAnsi="Times New Roman"/>
          <w:sz w:val="24"/>
        </w:rPr>
        <w:t>Professor</w:t>
      </w:r>
    </w:p>
    <w:p w:rsidR="00F430EC" w:rsidRDefault="00145724" w:rsidP="009C2BDD">
      <w:pPr>
        <w:ind w:firstLine="0"/>
        <w:jc w:val="center"/>
        <w:rPr>
          <w:rFonts w:ascii="Times New Roman" w:hAnsi="Times New Roman"/>
          <w:sz w:val="24"/>
        </w:rPr>
      </w:pPr>
      <w:r>
        <w:rPr>
          <w:rFonts w:ascii="Times New Roman" w:hAnsi="Times New Roman"/>
          <w:sz w:val="24"/>
        </w:rPr>
        <w:t>Date</w:t>
      </w:r>
    </w:p>
    <w:p w:rsidR="00F430EC" w:rsidRDefault="00145724">
      <w:pPr>
        <w:rPr>
          <w:rFonts w:ascii="Times New Roman" w:hAnsi="Times New Roman"/>
          <w:b/>
          <w:sz w:val="24"/>
        </w:rPr>
      </w:pPr>
      <w:r>
        <w:rPr>
          <w:rFonts w:ascii="Times New Roman" w:hAnsi="Times New Roman"/>
          <w:b/>
          <w:sz w:val="24"/>
        </w:rPr>
        <w:br w:type="page"/>
      </w:r>
    </w:p>
    <w:p w:rsidR="00F430EC" w:rsidRDefault="00145724" w:rsidP="009C2BDD">
      <w:pPr>
        <w:ind w:firstLine="0"/>
        <w:jc w:val="center"/>
        <w:rPr>
          <w:rFonts w:ascii="Times New Roman" w:hAnsi="Times New Roman"/>
          <w:b/>
          <w:sz w:val="24"/>
        </w:rPr>
      </w:pPr>
      <w:r>
        <w:rPr>
          <w:rFonts w:ascii="Times New Roman" w:hAnsi="Times New Roman"/>
          <w:b/>
          <w:sz w:val="24"/>
        </w:rPr>
        <w:lastRenderedPageBreak/>
        <w:t>Diptych of the Symmachi and Aphrodite of Knidos</w:t>
      </w:r>
    </w:p>
    <w:p w:rsidR="00F430EC" w:rsidRDefault="00145724" w:rsidP="009C2BDD">
      <w:pPr>
        <w:ind w:left="720" w:hanging="720"/>
        <w:jc w:val="center"/>
        <w:rPr>
          <w:rFonts w:ascii="Times New Roman" w:hAnsi="Times New Roman"/>
          <w:b/>
          <w:sz w:val="24"/>
        </w:rPr>
      </w:pPr>
      <w:r>
        <w:rPr>
          <w:rFonts w:ascii="Times New Roman" w:hAnsi="Times New Roman"/>
          <w:b/>
          <w:sz w:val="24"/>
        </w:rPr>
        <w:t xml:space="preserve">Differences </w:t>
      </w:r>
      <w:r w:rsidR="00B61696">
        <w:rPr>
          <w:rFonts w:ascii="Times New Roman" w:hAnsi="Times New Roman"/>
          <w:b/>
          <w:sz w:val="24"/>
        </w:rPr>
        <w:t>of</w:t>
      </w:r>
      <w:r>
        <w:rPr>
          <w:rFonts w:ascii="Times New Roman" w:hAnsi="Times New Roman"/>
          <w:b/>
          <w:sz w:val="24"/>
        </w:rPr>
        <w:t xml:space="preserve"> </w:t>
      </w:r>
      <w:r w:rsidR="00B61696">
        <w:rPr>
          <w:rFonts w:ascii="Times New Roman" w:hAnsi="Times New Roman"/>
          <w:b/>
          <w:sz w:val="24"/>
        </w:rPr>
        <w:t>the</w:t>
      </w:r>
      <w:r>
        <w:rPr>
          <w:rFonts w:ascii="Times New Roman" w:hAnsi="Times New Roman"/>
          <w:b/>
          <w:sz w:val="24"/>
        </w:rPr>
        <w:t xml:space="preserve"> Arts</w:t>
      </w:r>
    </w:p>
    <w:p w:rsidR="00F430EC" w:rsidRDefault="00145724">
      <w:pPr>
        <w:rPr>
          <w:rFonts w:ascii="Times New Roman" w:hAnsi="Times New Roman"/>
          <w:sz w:val="24"/>
        </w:rPr>
      </w:pPr>
      <w:r>
        <w:rPr>
          <w:rFonts w:ascii="Times New Roman" w:hAnsi="Times New Roman"/>
          <w:sz w:val="24"/>
        </w:rPr>
        <w:t xml:space="preserve">The two arts differ in terms of size.  The </w:t>
      </w:r>
      <w:r>
        <w:rPr>
          <w:rFonts w:ascii="Times New Roman" w:hAnsi="Times New Roman"/>
          <w:sz w:val="24"/>
        </w:rPr>
        <w:t>Aphrodite of Knidos is 168 *57.2*42 cm and 66 1/8*22 ½* 16 ½ inches while the Diptych of Symmachi is 29.8 *12.2 cm and 11.7* 4.8 inches. Diptych has a height of 29.6cm, a width of 12.1 cm, a weight of 0.3 kg</w:t>
      </w:r>
      <w:r>
        <w:rPr>
          <w:rFonts w:hAnsi="Times New Roman"/>
          <w:sz w:val="24"/>
        </w:rPr>
        <w:t>,</w:t>
      </w:r>
      <w:r>
        <w:rPr>
          <w:rFonts w:ascii="Times New Roman" w:hAnsi="Times New Roman"/>
          <w:sz w:val="24"/>
        </w:rPr>
        <w:t xml:space="preserve"> and a depth of 1.8cm.</w:t>
      </w:r>
    </w:p>
    <w:p w:rsidR="00F430EC" w:rsidRDefault="00145724">
      <w:pPr>
        <w:rPr>
          <w:rFonts w:ascii="Times New Roman" w:hAnsi="Times New Roman"/>
          <w:sz w:val="24"/>
        </w:rPr>
      </w:pPr>
      <w:r>
        <w:rPr>
          <w:rFonts w:ascii="Times New Roman" w:hAnsi="Times New Roman"/>
          <w:sz w:val="24"/>
        </w:rPr>
        <w:t>The meanings of the two a</w:t>
      </w:r>
      <w:r>
        <w:rPr>
          <w:rFonts w:ascii="Times New Roman" w:hAnsi="Times New Roman"/>
          <w:sz w:val="24"/>
        </w:rPr>
        <w:t>rts also differ. The Diptych has been taken to refer to a marriage union. The meaning is derived from the statute being made of two ivories</w:t>
      </w:r>
      <w:r>
        <w:rPr>
          <w:rFonts w:hAnsi="Times New Roman"/>
          <w:sz w:val="24"/>
        </w:rPr>
        <w:t>,</w:t>
      </w:r>
      <w:r>
        <w:rPr>
          <w:rFonts w:ascii="Times New Roman" w:hAnsi="Times New Roman"/>
          <w:sz w:val="24"/>
        </w:rPr>
        <w:t xml:space="preserve"> which together form a diptych. The art represents an aristocratic wedding union between pagans. The Aphrodite, on t</w:t>
      </w:r>
      <w:r>
        <w:rPr>
          <w:rFonts w:ascii="Times New Roman" w:hAnsi="Times New Roman"/>
          <w:sz w:val="24"/>
        </w:rPr>
        <w:t>he other hand, has been translated to refer to the adoration of women at a time when male dominance was prevalent. The portrayal of the nude woman depicts her beauty, modesty</w:t>
      </w:r>
      <w:r>
        <w:rPr>
          <w:rFonts w:hAnsi="Times New Roman"/>
          <w:sz w:val="24"/>
        </w:rPr>
        <w:t>,</w:t>
      </w:r>
      <w:r>
        <w:rPr>
          <w:rFonts w:ascii="Times New Roman" w:hAnsi="Times New Roman"/>
          <w:sz w:val="24"/>
        </w:rPr>
        <w:t xml:space="preserve"> and seductive power.</w:t>
      </w:r>
    </w:p>
    <w:p w:rsidR="00F430EC" w:rsidRDefault="00145724">
      <w:pPr>
        <w:rPr>
          <w:rFonts w:ascii="Times New Roman" w:hAnsi="Times New Roman"/>
          <w:sz w:val="24"/>
        </w:rPr>
      </w:pPr>
      <w:r>
        <w:rPr>
          <w:rFonts w:ascii="Times New Roman" w:hAnsi="Times New Roman"/>
          <w:sz w:val="24"/>
        </w:rPr>
        <w:t>The Aphrodite of Knidos has a fine granular texture with an</w:t>
      </w:r>
      <w:r>
        <w:rPr>
          <w:rFonts w:ascii="Times New Roman" w:hAnsi="Times New Roman"/>
          <w:sz w:val="24"/>
        </w:rPr>
        <w:t xml:space="preserve"> orange-pink color tone. The Diptych of Symmachi, on the contrary, has a golden-silvery color with a glittering texture.</w:t>
      </w:r>
    </w:p>
    <w:p w:rsidR="00F430EC" w:rsidRDefault="00145724">
      <w:pPr>
        <w:rPr>
          <w:rFonts w:ascii="Times New Roman" w:hAnsi="Times New Roman"/>
          <w:sz w:val="24"/>
        </w:rPr>
      </w:pPr>
      <w:r>
        <w:rPr>
          <w:rFonts w:ascii="Times New Roman" w:hAnsi="Times New Roman"/>
          <w:sz w:val="24"/>
        </w:rPr>
        <w:t>The mineral that the statute was originally made of Calcium Carbonate mineral as much as it has some other minerals like dolomite, grap</w:t>
      </w:r>
      <w:r>
        <w:rPr>
          <w:rFonts w:ascii="Times New Roman" w:hAnsi="Times New Roman"/>
          <w:sz w:val="24"/>
        </w:rPr>
        <w:t>hite</w:t>
      </w:r>
      <w:r>
        <w:rPr>
          <w:rFonts w:hAnsi="Times New Roman"/>
          <w:sz w:val="24"/>
        </w:rPr>
        <w:t>,</w:t>
      </w:r>
      <w:r>
        <w:rPr>
          <w:rFonts w:ascii="Times New Roman" w:hAnsi="Times New Roman"/>
          <w:sz w:val="24"/>
        </w:rPr>
        <w:t xml:space="preserve"> and K-mica materials in lower concentrations while the Diptych of Symmmachi does not contain any minerals. The Aphrodite has the material of a marble type</w:t>
      </w:r>
      <w:r>
        <w:rPr>
          <w:rFonts w:hAnsi="Times New Roman"/>
          <w:sz w:val="24"/>
        </w:rPr>
        <w:t>,</w:t>
      </w:r>
      <w:r>
        <w:rPr>
          <w:rFonts w:ascii="Times New Roman" w:hAnsi="Times New Roman"/>
          <w:sz w:val="24"/>
        </w:rPr>
        <w:t xml:space="preserve"> while the Symmachi is made of carved elephant ivory.</w:t>
      </w:r>
    </w:p>
    <w:p w:rsidR="00F430EC" w:rsidRDefault="00145724">
      <w:pPr>
        <w:rPr>
          <w:rFonts w:ascii="Times New Roman" w:hAnsi="Times New Roman"/>
          <w:sz w:val="24"/>
        </w:rPr>
      </w:pPr>
      <w:r>
        <w:rPr>
          <w:rFonts w:ascii="Times New Roman" w:hAnsi="Times New Roman"/>
          <w:sz w:val="24"/>
        </w:rPr>
        <w:t xml:space="preserve">Buell, (2016) reveals that the Aphrodite </w:t>
      </w:r>
      <w:r>
        <w:rPr>
          <w:rFonts w:ascii="Times New Roman" w:hAnsi="Times New Roman"/>
          <w:sz w:val="24"/>
        </w:rPr>
        <w:t>sculpture was framed by the Greek Sculptor Praxiteles as the initial nude representation of a female deity while the artist for the Diptych is not known.</w:t>
      </w:r>
    </w:p>
    <w:p w:rsidR="00F430EC" w:rsidRDefault="00145724">
      <w:pPr>
        <w:rPr>
          <w:rFonts w:ascii="Times New Roman" w:hAnsi="Times New Roman"/>
          <w:sz w:val="24"/>
        </w:rPr>
      </w:pPr>
      <w:r>
        <w:rPr>
          <w:rFonts w:ascii="Times New Roman" w:hAnsi="Times New Roman"/>
          <w:sz w:val="24"/>
        </w:rPr>
        <w:t xml:space="preserve">While the Aphrodite Sculpture is an art of a nude woman, the Symmachi is an art of a decently dressed </w:t>
      </w:r>
      <w:r>
        <w:rPr>
          <w:rFonts w:ascii="Times New Roman" w:hAnsi="Times New Roman"/>
          <w:sz w:val="24"/>
        </w:rPr>
        <w:t>woman with her entire body being covered. The Aphrodite nude woman has also had her head cut off while the Symmachi woman has her head.</w:t>
      </w:r>
    </w:p>
    <w:p w:rsidR="00F430EC" w:rsidRDefault="00F430EC">
      <w:pPr>
        <w:rPr>
          <w:rFonts w:ascii="Times New Roman" w:hAnsi="Times New Roman"/>
          <w:b/>
          <w:sz w:val="24"/>
        </w:rPr>
      </w:pPr>
    </w:p>
    <w:p w:rsidR="00F430EC" w:rsidRDefault="00145724">
      <w:pPr>
        <w:ind w:left="720" w:hanging="720"/>
        <w:jc w:val="center"/>
        <w:rPr>
          <w:rFonts w:ascii="Times New Roman" w:hAnsi="Times New Roman"/>
          <w:sz w:val="24"/>
        </w:rPr>
      </w:pPr>
      <w:r>
        <w:rPr>
          <w:rFonts w:ascii="Times New Roman" w:hAnsi="Times New Roman"/>
          <w:b/>
          <w:sz w:val="24"/>
        </w:rPr>
        <w:t xml:space="preserve">Similarities </w:t>
      </w:r>
      <w:r w:rsidR="00B61696">
        <w:rPr>
          <w:rFonts w:ascii="Times New Roman" w:hAnsi="Times New Roman"/>
          <w:b/>
          <w:sz w:val="24"/>
        </w:rPr>
        <w:t>of</w:t>
      </w:r>
      <w:r>
        <w:rPr>
          <w:rFonts w:ascii="Times New Roman" w:hAnsi="Times New Roman"/>
          <w:b/>
          <w:sz w:val="24"/>
        </w:rPr>
        <w:t xml:space="preserve"> </w:t>
      </w:r>
      <w:r w:rsidR="00B61696">
        <w:rPr>
          <w:rFonts w:ascii="Times New Roman" w:hAnsi="Times New Roman"/>
          <w:b/>
          <w:sz w:val="24"/>
        </w:rPr>
        <w:t>the</w:t>
      </w:r>
      <w:r>
        <w:rPr>
          <w:rFonts w:ascii="Times New Roman" w:hAnsi="Times New Roman"/>
          <w:b/>
          <w:sz w:val="24"/>
        </w:rPr>
        <w:t xml:space="preserve"> Arts</w:t>
      </w:r>
    </w:p>
    <w:p w:rsidR="00F430EC" w:rsidRDefault="00145724">
      <w:pPr>
        <w:rPr>
          <w:rFonts w:ascii="Times New Roman" w:hAnsi="Times New Roman"/>
          <w:sz w:val="24"/>
        </w:rPr>
      </w:pPr>
      <w:r>
        <w:rPr>
          <w:rFonts w:ascii="Times New Roman" w:hAnsi="Times New Roman"/>
          <w:sz w:val="24"/>
        </w:rPr>
        <w:t xml:space="preserve">Both arts have some religious connotations.  The Aphrodite is an art that depicts the goddess </w:t>
      </w:r>
      <w:r>
        <w:rPr>
          <w:rFonts w:ascii="Times New Roman" w:hAnsi="Times New Roman"/>
          <w:sz w:val="24"/>
        </w:rPr>
        <w:t>of erotic love, sexuality</w:t>
      </w:r>
      <w:r>
        <w:rPr>
          <w:rFonts w:hAnsi="Times New Roman"/>
          <w:sz w:val="24"/>
        </w:rPr>
        <w:t>,</w:t>
      </w:r>
      <w:r>
        <w:rPr>
          <w:rFonts w:ascii="Times New Roman" w:hAnsi="Times New Roman"/>
          <w:sz w:val="24"/>
        </w:rPr>
        <w:t xml:space="preserve"> and fertility in the Greek context</w:t>
      </w:r>
      <w:r>
        <w:rPr>
          <w:rFonts w:hAnsi="Times New Roman"/>
          <w:sz w:val="24"/>
        </w:rPr>
        <w:t>,</w:t>
      </w:r>
      <w:r>
        <w:rPr>
          <w:rFonts w:ascii="Times New Roman" w:hAnsi="Times New Roman"/>
          <w:sz w:val="24"/>
        </w:rPr>
        <w:t xml:space="preserve"> while the Diptych of Symmachi is a depiction of the scenes of the religious practices of pagans of the Roman religion.</w:t>
      </w:r>
    </w:p>
    <w:p w:rsidR="00F430EC" w:rsidRDefault="00145724">
      <w:pPr>
        <w:rPr>
          <w:rFonts w:ascii="Times New Roman" w:hAnsi="Times New Roman"/>
          <w:sz w:val="24"/>
        </w:rPr>
      </w:pPr>
      <w:r>
        <w:rPr>
          <w:rFonts w:ascii="Times New Roman" w:hAnsi="Times New Roman"/>
          <w:sz w:val="24"/>
        </w:rPr>
        <w:t>Both sculptures also use images of women representing deities. The Aphrodi</w:t>
      </w:r>
      <w:r>
        <w:rPr>
          <w:rFonts w:ascii="Times New Roman" w:hAnsi="Times New Roman"/>
          <w:sz w:val="24"/>
        </w:rPr>
        <w:t>te of Knidos statue stance is that of a nude female with her right hand placed over her genitalia</w:t>
      </w:r>
      <w:r>
        <w:rPr>
          <w:rFonts w:hAnsi="Times New Roman"/>
          <w:sz w:val="24"/>
        </w:rPr>
        <w:t>,</w:t>
      </w:r>
      <w:r>
        <w:rPr>
          <w:rFonts w:ascii="Times New Roman" w:hAnsi="Times New Roman"/>
          <w:sz w:val="24"/>
        </w:rPr>
        <w:t>and the other hand stretched to reach a towel, while the Diptych of Symmachi statue is that of an ivory crowned woman, performing a religious ritual (Ivanovic</w:t>
      </w:r>
      <w:r>
        <w:rPr>
          <w:rFonts w:ascii="Times New Roman" w:hAnsi="Times New Roman"/>
          <w:sz w:val="24"/>
        </w:rPr>
        <w:t>i, 2019) The woman is sprinkling incense over the flames in a square altar with oak wreaths. Both arts are similar in their use of women as deities and religious symbols</w:t>
      </w:r>
      <w:r>
        <w:rPr>
          <w:rFonts w:hAnsi="Times New Roman"/>
          <w:sz w:val="24"/>
        </w:rPr>
        <w:t>,</w:t>
      </w:r>
      <w:r>
        <w:rPr>
          <w:rFonts w:ascii="Times New Roman" w:hAnsi="Times New Roman"/>
          <w:sz w:val="24"/>
        </w:rPr>
        <w:t xml:space="preserve"> as the arts represent the power of the women signified by their beauty. </w:t>
      </w:r>
    </w:p>
    <w:p w:rsidR="00F430EC" w:rsidRDefault="00145724">
      <w:pPr>
        <w:rPr>
          <w:rFonts w:ascii="Times New Roman" w:hAnsi="Times New Roman"/>
          <w:sz w:val="24"/>
        </w:rPr>
      </w:pPr>
      <w:r>
        <w:rPr>
          <w:rFonts w:ascii="Times New Roman" w:hAnsi="Times New Roman"/>
          <w:sz w:val="24"/>
        </w:rPr>
        <w:t>Both arts ar</w:t>
      </w:r>
      <w:r>
        <w:rPr>
          <w:rFonts w:ascii="Times New Roman" w:hAnsi="Times New Roman"/>
          <w:sz w:val="24"/>
        </w:rPr>
        <w:t>e representations of their respective cultures. The Symmachi was produced in Rome between 388 and 401 BCE. The art connote</w:t>
      </w:r>
      <w:r>
        <w:rPr>
          <w:rFonts w:hAnsi="Times New Roman"/>
          <w:sz w:val="24"/>
        </w:rPr>
        <w:t>s</w:t>
      </w:r>
      <w:r>
        <w:rPr>
          <w:rFonts w:ascii="Times New Roman" w:hAnsi="Times New Roman"/>
          <w:sz w:val="24"/>
        </w:rPr>
        <w:t xml:space="preserve"> the royal aspects of the Roman culture as female deities were considered very royal. The art was also made to preserve the roman cul</w:t>
      </w:r>
      <w:r>
        <w:rPr>
          <w:rFonts w:ascii="Times New Roman" w:hAnsi="Times New Roman"/>
          <w:sz w:val="24"/>
        </w:rPr>
        <w:t>ture amidst the emerging era of Christianity. The Aphrodite was similarly constructed in the 4</w:t>
      </w:r>
      <w:r>
        <w:rPr>
          <w:rFonts w:ascii="Times New Roman" w:hAnsi="Times New Roman"/>
          <w:sz w:val="24"/>
          <w:vertAlign w:val="superscript"/>
        </w:rPr>
        <w:t>th</w:t>
      </w:r>
      <w:r>
        <w:rPr>
          <w:rFonts w:ascii="Times New Roman" w:hAnsi="Times New Roman"/>
          <w:sz w:val="24"/>
        </w:rPr>
        <w:t xml:space="preserve"> century BCE to celebrate and preserve the Greek culture. The female deity represented a Greek goddess. Both arts also signify that women</w:t>
      </w:r>
      <w:r>
        <w:rPr>
          <w:rFonts w:hAnsi="Times New Roman"/>
          <w:sz w:val="24"/>
        </w:rPr>
        <w:t>,</w:t>
      </w:r>
      <w:r>
        <w:rPr>
          <w:rFonts w:ascii="Times New Roman" w:hAnsi="Times New Roman"/>
          <w:sz w:val="24"/>
        </w:rPr>
        <w:t xml:space="preserve"> despite the notions t</w:t>
      </w:r>
      <w:r>
        <w:rPr>
          <w:rFonts w:ascii="Times New Roman" w:hAnsi="Times New Roman"/>
          <w:sz w:val="24"/>
        </w:rPr>
        <w:t>hat characterized the era</w:t>
      </w:r>
      <w:r>
        <w:rPr>
          <w:rFonts w:hAnsi="Times New Roman"/>
          <w:sz w:val="24"/>
        </w:rPr>
        <w:t xml:space="preserve">,have some power. The arts </w:t>
      </w:r>
      <w:r>
        <w:rPr>
          <w:rFonts w:ascii="Times New Roman" w:hAnsi="Times New Roman"/>
          <w:sz w:val="24"/>
        </w:rPr>
        <w:t>demystified these notions (Deng, 2017). The women in both arts are using their hands to work instead of waiting for men to perform all the roles that there are. The arts reveal that women, when given an o</w:t>
      </w:r>
      <w:r>
        <w:rPr>
          <w:rFonts w:ascii="Times New Roman" w:hAnsi="Times New Roman"/>
          <w:sz w:val="24"/>
        </w:rPr>
        <w:t>pportunity, can perform different duties.</w:t>
      </w:r>
    </w:p>
    <w:p w:rsidR="00F430EC" w:rsidRDefault="00F430EC">
      <w:pPr>
        <w:rPr>
          <w:rFonts w:ascii="Times New Roman" w:hAnsi="Times New Roman"/>
          <w:sz w:val="24"/>
        </w:rPr>
      </w:pPr>
    </w:p>
    <w:p w:rsidR="00F430EC" w:rsidRDefault="00F430EC">
      <w:pPr>
        <w:ind w:firstLine="0"/>
        <w:rPr>
          <w:rFonts w:ascii="Times New Roman" w:hAnsi="Times New Roman"/>
          <w:sz w:val="24"/>
        </w:rPr>
      </w:pPr>
    </w:p>
    <w:p w:rsidR="00F430EC" w:rsidRPr="009C2BDD" w:rsidRDefault="00145724" w:rsidP="00B61696">
      <w:pPr>
        <w:ind w:firstLine="0"/>
        <w:jc w:val="center"/>
        <w:rPr>
          <w:rFonts w:ascii="Times New Roman" w:hAnsi="Times New Roman"/>
          <w:b/>
          <w:sz w:val="24"/>
        </w:rPr>
      </w:pPr>
      <w:bookmarkStart w:id="0" w:name="_GoBack"/>
      <w:r w:rsidRPr="009C2BDD">
        <w:rPr>
          <w:rFonts w:ascii="Times New Roman" w:hAnsi="Times New Roman"/>
          <w:b/>
          <w:sz w:val="24"/>
        </w:rPr>
        <w:lastRenderedPageBreak/>
        <w:t>References</w:t>
      </w:r>
    </w:p>
    <w:bookmarkEnd w:id="0"/>
    <w:p w:rsidR="00F430EC" w:rsidRDefault="00145724">
      <w:pPr>
        <w:ind w:left="720" w:hanging="720"/>
        <w:rPr>
          <w:rFonts w:ascii="Times New Roman" w:hAnsi="Times New Roman"/>
          <w:sz w:val="24"/>
        </w:rPr>
      </w:pPr>
      <w:r>
        <w:rPr>
          <w:rFonts w:ascii="Times New Roman" w:hAnsi="Times New Roman"/>
          <w:sz w:val="24"/>
        </w:rPr>
        <w:t>Buell, K. (2016). Aphrodite of Knidos, Trendsetter: Depictions of the Female Nude and Sexuality in Ancient Greek Sculpture</w:t>
      </w:r>
    </w:p>
    <w:p w:rsidR="00F430EC" w:rsidRDefault="00145724">
      <w:pPr>
        <w:ind w:left="720" w:hanging="720"/>
        <w:rPr>
          <w:rFonts w:ascii="Times New Roman" w:hAnsi="Times New Roman"/>
          <w:sz w:val="24"/>
        </w:rPr>
      </w:pPr>
      <w:r>
        <w:rPr>
          <w:rFonts w:ascii="Times New Roman" w:hAnsi="Times New Roman"/>
          <w:sz w:val="24"/>
        </w:rPr>
        <w:t>Deng, R. (2017). Female Statues in Ancient Greece and Rome</w:t>
      </w:r>
    </w:p>
    <w:p w:rsidR="00F430EC" w:rsidRDefault="00145724">
      <w:pPr>
        <w:ind w:left="720" w:hanging="720"/>
        <w:rPr>
          <w:rFonts w:ascii="Times New Roman" w:hAnsi="Times New Roman"/>
          <w:sz w:val="24"/>
        </w:rPr>
      </w:pPr>
      <w:r>
        <w:rPr>
          <w:rFonts w:ascii="Times New Roman" w:hAnsi="Times New Roman"/>
          <w:sz w:val="24"/>
        </w:rPr>
        <w:t>Ivanovici</w:t>
      </w:r>
      <w:r>
        <w:rPr>
          <w:rFonts w:ascii="Times New Roman" w:hAnsi="Times New Roman"/>
          <w:sz w:val="24"/>
        </w:rPr>
        <w:t xml:space="preserve">, V. (2019). Iconic Presences. Late Roman Consuls as Imperial Images. </w:t>
      </w:r>
      <w:r>
        <w:rPr>
          <w:rFonts w:ascii="Times New Roman" w:hAnsi="Times New Roman"/>
          <w:i/>
          <w:sz w:val="24"/>
        </w:rPr>
        <w:t>Convivium, 6</w:t>
      </w:r>
      <w:r>
        <w:rPr>
          <w:rFonts w:ascii="Times New Roman" w:hAnsi="Times New Roman"/>
          <w:sz w:val="24"/>
        </w:rPr>
        <w:t>(1), 128-147</w:t>
      </w:r>
    </w:p>
    <w:p w:rsidR="00F430EC" w:rsidRDefault="00F430EC">
      <w:pPr>
        <w:rPr>
          <w:rFonts w:ascii="Times New Roman" w:hAnsi="Times New Roman"/>
          <w:sz w:val="24"/>
        </w:rPr>
      </w:pPr>
    </w:p>
    <w:sectPr w:rsidR="00F430EC" w:rsidSect="00F430E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724" w:rsidRDefault="00145724" w:rsidP="00F430EC">
      <w:pPr>
        <w:spacing w:line="240" w:lineRule="auto"/>
      </w:pPr>
      <w:r>
        <w:separator/>
      </w:r>
    </w:p>
  </w:endnote>
  <w:endnote w:type="continuationSeparator" w:id="1">
    <w:p w:rsidR="00145724" w:rsidRDefault="00145724" w:rsidP="00F430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724" w:rsidRDefault="00145724" w:rsidP="00F430EC">
      <w:pPr>
        <w:spacing w:line="240" w:lineRule="auto"/>
      </w:pPr>
      <w:r>
        <w:separator/>
      </w:r>
    </w:p>
  </w:footnote>
  <w:footnote w:type="continuationSeparator" w:id="1">
    <w:p w:rsidR="00145724" w:rsidRDefault="00145724" w:rsidP="00F430E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80282"/>
      <w:docPartObj>
        <w:docPartGallery w:val="Page Numbers (Top of Page)"/>
        <w:docPartUnique/>
      </w:docPartObj>
    </w:sdtPr>
    <w:sdtContent>
      <w:p w:rsidR="009C2BDD" w:rsidRDefault="009C2BDD">
        <w:pPr>
          <w:pStyle w:val="Header"/>
          <w:jc w:val="right"/>
        </w:pPr>
        <w:r w:rsidRPr="009C2BDD">
          <w:rPr>
            <w:rFonts w:ascii="Times New Roman" w:hAnsi="Times New Roman"/>
            <w:sz w:val="24"/>
          </w:rPr>
          <w:fldChar w:fldCharType="begin"/>
        </w:r>
        <w:r w:rsidRPr="009C2BDD">
          <w:rPr>
            <w:rFonts w:ascii="Times New Roman" w:hAnsi="Times New Roman"/>
            <w:sz w:val="24"/>
          </w:rPr>
          <w:instrText xml:space="preserve"> PAGE   \* MERGEFORMAT </w:instrText>
        </w:r>
        <w:r w:rsidRPr="009C2BDD">
          <w:rPr>
            <w:rFonts w:ascii="Times New Roman" w:hAnsi="Times New Roman"/>
            <w:sz w:val="24"/>
          </w:rPr>
          <w:fldChar w:fldCharType="separate"/>
        </w:r>
        <w:r w:rsidR="00B61696">
          <w:rPr>
            <w:rFonts w:ascii="Times New Roman" w:hAnsi="Times New Roman"/>
            <w:noProof/>
            <w:sz w:val="24"/>
          </w:rPr>
          <w:t>4</w:t>
        </w:r>
        <w:r w:rsidRPr="009C2BDD">
          <w:rPr>
            <w:rFonts w:ascii="Times New Roman" w:hAnsi="Times New Roman"/>
            <w:sz w:val="24"/>
          </w:rPr>
          <w:fldChar w:fldCharType="end"/>
        </w:r>
      </w:p>
    </w:sdtContent>
  </w:sdt>
  <w:p w:rsidR="00F430EC" w:rsidRDefault="00F430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430EC"/>
    <w:rsid w:val="00145724"/>
    <w:rsid w:val="009C2BDD"/>
    <w:rsid w:val="00B61696"/>
    <w:rsid w:val="00F430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0EC"/>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430EC"/>
    <w:pPr>
      <w:tabs>
        <w:tab w:val="center" w:pos="4680"/>
        <w:tab w:val="right" w:pos="9360"/>
      </w:tabs>
      <w:spacing w:line="240" w:lineRule="auto"/>
    </w:pPr>
  </w:style>
  <w:style w:type="character" w:customStyle="1" w:styleId="HeaderChar">
    <w:name w:val="Header Char"/>
    <w:basedOn w:val="DefaultParagraphFont"/>
    <w:link w:val="Header"/>
    <w:uiPriority w:val="99"/>
    <w:rsid w:val="00F430EC"/>
    <w:rPr>
      <w:rFonts w:ascii="Calibri" w:hAnsi="Calibri"/>
      <w:sz w:val="22"/>
    </w:rPr>
  </w:style>
  <w:style w:type="paragraph" w:styleId="Footer">
    <w:name w:val="footer"/>
    <w:basedOn w:val="Normal"/>
    <w:link w:val="FooterChar"/>
    <w:uiPriority w:val="99"/>
    <w:rsid w:val="00F430EC"/>
    <w:pPr>
      <w:tabs>
        <w:tab w:val="center" w:pos="4680"/>
        <w:tab w:val="right" w:pos="9360"/>
      </w:tabs>
      <w:spacing w:line="240" w:lineRule="auto"/>
    </w:pPr>
  </w:style>
  <w:style w:type="character" w:customStyle="1" w:styleId="FooterChar">
    <w:name w:val="Footer Char"/>
    <w:basedOn w:val="DefaultParagraphFont"/>
    <w:link w:val="Footer"/>
    <w:uiPriority w:val="99"/>
    <w:rsid w:val="00F430EC"/>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22</cp:revision>
  <dcterms:created xsi:type="dcterms:W3CDTF">2020-04-09T11:07:00Z</dcterms:created>
  <dcterms:modified xsi:type="dcterms:W3CDTF">2020-04-09T12:44:00Z</dcterms:modified>
</cp:coreProperties>
</file>